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</w:t>
      </w:r>
      <w:r>
        <w:rPr>
          <w:rFonts w:ascii="Times New Roman" w:hAnsi="Times New Roman"/>
          <w:b/>
          <w:sz w:val="28"/>
          <w:szCs w:val="28"/>
        </w:rPr>
        <w:t xml:space="preserve">оклад</w:t>
      </w:r>
      <w:r>
        <w:rPr>
          <w:rFonts w:ascii="Times New Roman" w:hAnsi="Times New Roman"/>
          <w:b/>
          <w:sz w:val="28"/>
          <w:szCs w:val="28"/>
        </w:rPr>
        <w:t xml:space="preserve"> о развитии и результатах</w:t>
      </w:r>
      <w:r>
        <w:rPr>
          <w:rFonts w:ascii="Times New Roman" w:hAnsi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процедуры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городском округе городе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Нижнем Новгороде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2025 год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>
        <w:tblPrEx/>
        <w:trPr>
          <w:trHeight w:val="23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I. Общие сведения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округ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Приволжский федеральный округ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Субъект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Нижегородская область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составления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Местное самоуправление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ской округ 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Нижний Новгород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23.01.202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8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II. Нормативное правовое закрепление института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2.1. Определен орган, </w:t>
            </w:r>
            <w:r>
              <w:rPr>
                <w:rFonts w:ascii="Times New Roman" w:hAnsi="Times New Roman"/>
                <w:b/>
              </w:rPr>
              <w:t xml:space="preserve">уполномоченный на осуществление контроля за соблюдением порядка проведения ОРВ проектов муниципальных нормативных правовых актов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 соответствии с п.2 постан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овления администрации города Нижнего Новгорода от 23.10.2025 года №13576 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» департамент экономического развития и инвестиций администрации города Нижнего Новгорода определен уполномоченным органом на осуществление контроля за соблюдением порядка проведения ОРВ муниципальных нормативных правовых актов.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аспоряжением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председателя городской Думы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17 февраля 2020 года № 12-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РП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 утверждении состава органа, уполномоченного на осуществление контроля за соблюдением Порядка проведения оценки регулирующего воздействия проектов муниципальных нормативных правовых актов городской Думы города Нижнего Новгорода»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утвержден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состав органа, уполномоченного на осуществление контроля за соблюдением Порядка проведения оценки регулирующего воздействия проектов муниципальных нормативных правовых актов городской Думы города Нижнего Новгорода (уполномоченного органа)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2.2. Предметная область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Проведение процедуры оценки регулирующего воздействия прое</w:t>
            </w:r>
            <w:r>
              <w:rPr>
                <w:rFonts w:ascii="Times New Roman" w:hAnsi="Times New Roman"/>
              </w:rPr>
              <w:t xml:space="preserve">ктов нормативных правовых актов</w:t>
            </w:r>
            <w:r>
              <w:rPr>
                <w:rFonts w:ascii="Times New Roman" w:hAnsi="Times New Roman"/>
              </w:rPr>
              <w:t xml:space="preserve"> и экспертизы нормативных правовых актов, затрагивающих вопросы </w:t>
            </w:r>
            <w:r>
              <w:rPr>
                <w:rFonts w:ascii="Times New Roman" w:hAnsi="Times New Roman"/>
              </w:rPr>
              <w:t xml:space="preserve">предпринимательской</w:t>
            </w:r>
            <w:r>
              <w:rPr>
                <w:rFonts w:ascii="Times New Roman" w:hAnsi="Times New Roman"/>
                <w:u w:val="single"/>
              </w:rPr>
              <w:t xml:space="preserve"> и иной экономической деятельности</w:t>
            </w:r>
            <w:r>
              <w:rPr>
                <w:rFonts w:ascii="Times New Roman" w:hAnsi="Times New Roman"/>
              </w:rPr>
              <w:t xml:space="preserve">_______________</w:t>
            </w:r>
            <w:r>
              <w:rPr>
                <w:rFonts w:ascii="Times New Roman" w:hAnsi="Times New Roman"/>
              </w:rPr>
              <w:t xml:space="preserve">______________________</w:t>
            </w:r>
            <w:r>
              <w:rPr>
                <w:rFonts w:ascii="Times New Roman" w:hAnsi="Times New Roman"/>
              </w:rPr>
              <w:t xml:space="preserve">_________________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Выявление положений, вводящих избыточные обязанности, запреты и ограничения для субъектов предпринимательской и иной экономической деят</w:t>
            </w: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города Нижнего Новгорода</w:t>
            </w: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</w:r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</w:r>
            <w:r>
              <w:rPr>
                <w:rFonts w:ascii="Times New Roman" w:hAnsi="Times New Roman"/>
                <w:i/>
                <w:sz w:val="16"/>
                <w:szCs w:val="16"/>
                <w:u w:val="singl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23.10.2025 года №13576 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Решение городской Думы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26.11.2025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проведения оценки регулирующего воздействия проектов муниципальных нормативных правовых актов городской Думы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2.3. Утвержден порядок проведения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23.10.2025 года №13576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(в редакции от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30.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01.2026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https://admgor.nnov.ru/documents/Ocenka-reguliruyushchego-vozdeystviya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проведения оценки регулирующего воздействия проектов муниципальных нормативных правовых актов городской Думы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принятый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городской Думы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26.11.2025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проведения оценки регулирующего воздействия проектов муниципальных нормативных правовых актов городской Думы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2.4</w:t>
            </w:r>
            <w:r>
              <w:rPr>
                <w:rFonts w:ascii="Times New Roman" w:hAnsi="Times New Roman"/>
                <w:b/>
              </w:rPr>
              <w:t xml:space="preserve">. В соответствии с порядком оценка регулирующего воздействия проводится: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уполномоченным ор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ганом на осуществление контроля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нормативных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____________________________________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___________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___________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>
              <w:rPr>
                <w:rFonts w:ascii="Times New Roman" w:hAnsi="Times New Roman" w:eastAsia="Calibri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  <w:i/>
                <w:sz w:val="16"/>
                <w:szCs w:val="16"/>
                <w:lang w:eastAsia="en-US"/>
              </w:rPr>
              <w:t xml:space="preserve">место для текстового описания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самостоятельно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отраслевыми (функциональными) структурными подразделениями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администрации 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разработчиками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 соответст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вии с п.2.1 постановления администрации города Нижнего 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23.10.2025 года №13576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в соответствии с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пунктом 2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.2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Порядка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проведения оценки регулирующего воздействия проектов муниципальных нормативных правовых актов городской Думы города Нижнего Новгорода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, принят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решением городской Думы города Нижнего Новгорода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26.11.2025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88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>
              <w:rPr>
                <w:rFonts w:ascii="Times New Roman" w:hAnsi="Times New Roman" w:cs="Times New Roman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eastAsia="Calibri" w:cs="Times New Roman"/>
                <w:i/>
                <w:sz w:val="16"/>
                <w:szCs w:val="16"/>
                <w:lang w:eastAsia="en-US"/>
              </w:rPr>
              <w:t xml:space="preserve">место для текстового описания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6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trHeight w:val="39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3.1. Практический опыт проведения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количество положительных заключений об оценке регулирующего воздействия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2,12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82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в публ</w:t>
            </w:r>
            <w:r>
              <w:rPr>
                <w:rFonts w:ascii="Times New Roman" w:hAnsi="Times New Roman"/>
              </w:rPr>
              <w:t xml:space="preserve">ичных консультациях </w:t>
            </w:r>
            <w:r>
              <w:rPr>
                <w:rFonts w:ascii="Times New Roman" w:hAnsi="Times New Roman"/>
              </w:rPr>
              <w:t xml:space="preserve">по</w:t>
            </w:r>
            <w:r>
              <w:rPr>
                <w:rFonts w:ascii="Times New Roman" w:hAnsi="Times New Roman"/>
                <w:highlight w:val="none"/>
              </w:rPr>
              <w:t xml:space="preserve"> 25</w:t>
            </w:r>
            <w:r>
              <w:rPr>
                <w:rFonts w:ascii="Times New Roman" w:hAnsi="Times New Roman"/>
                <w:highlight w:val="none"/>
              </w:rPr>
              <w:t xml:space="preserve"> проект</w:t>
            </w:r>
            <w:r>
              <w:rPr>
                <w:rFonts w:ascii="Times New Roman" w:hAnsi="Times New Roman"/>
                <w:highlight w:val="none"/>
              </w:rPr>
              <w:t xml:space="preserve">ам</w:t>
            </w:r>
            <w:r>
              <w:rPr>
                <w:rFonts w:ascii="Times New Roman" w:hAnsi="Times New Roman"/>
                <w:highlight w:val="none"/>
              </w:rPr>
              <w:t xml:space="preserve"> НПА </w:t>
            </w:r>
            <w:r>
              <w:rPr>
                <w:rFonts w:ascii="Times New Roman" w:hAnsi="Times New Roman"/>
                <w:highlight w:val="none"/>
              </w:rPr>
              <w:t xml:space="preserve">зарегистрировано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17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участник</w:t>
            </w:r>
            <w:r>
              <w:rPr>
                <w:rFonts w:ascii="Times New Roman" w:hAnsi="Times New Roman"/>
                <w:highlight w:val="none"/>
              </w:rPr>
              <w:t xml:space="preserve">ов, внесших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по 7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проектам НПА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53</w:t>
            </w:r>
            <w:r>
              <w:rPr>
                <w:rFonts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предложения (</w:t>
            </w:r>
            <w:r>
              <w:rPr>
                <w:rFonts w:ascii="Times New Roman" w:hAnsi="Times New Roman"/>
                <w:highlight w:val="none"/>
              </w:rPr>
              <w:t xml:space="preserve">замечаний</w:t>
            </w:r>
            <w:r>
              <w:rPr>
                <w:rFonts w:ascii="Times New Roman" w:hAnsi="Times New Roman"/>
                <w:highlight w:val="none"/>
              </w:rPr>
              <w:t xml:space="preserve">)</w:t>
            </w:r>
            <w:r>
              <w:rPr>
                <w:rFonts w:ascii="Times New Roman" w:hAnsi="Times New Roman"/>
                <w:highlight w:val="none"/>
              </w:rPr>
              <w:t xml:space="preserve">, из которых 4</w:t>
            </w:r>
            <w:r>
              <w:rPr>
                <w:rFonts w:ascii="Times New Roman" w:hAnsi="Times New Roman"/>
                <w:highlight w:val="none"/>
              </w:rPr>
              <w:t xml:space="preserve">3 </w:t>
            </w:r>
            <w:r>
              <w:rPr>
                <w:rFonts w:ascii="Times New Roman" w:hAnsi="Times New Roman"/>
                <w:highlight w:val="none"/>
              </w:rPr>
              <w:t xml:space="preserve">б</w:t>
            </w:r>
            <w:r>
              <w:rPr>
                <w:rFonts w:ascii="Times New Roman" w:hAnsi="Times New Roman"/>
              </w:rPr>
              <w:t xml:space="preserve">ыло п</w:t>
            </w:r>
            <w:r>
              <w:rPr>
                <w:rFonts w:ascii="Times New Roman" w:hAnsi="Times New Roman"/>
              </w:rPr>
              <w:t xml:space="preserve">ринято </w:t>
            </w:r>
            <w:r>
              <w:rPr>
                <w:rFonts w:ascii="Times New Roman" w:hAnsi="Times New Roman"/>
              </w:rPr>
              <w:t xml:space="preserve">или учтено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прочие статистические данные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3.4</w:t>
            </w:r>
            <w:r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>
              <w:rPr>
                <w:rFonts w:ascii="Times New Roman" w:hAnsi="Times New Roman"/>
                <w:b/>
              </w:rPr>
              <w:t xml:space="preserve">муниципальных </w:t>
            </w:r>
            <w:r>
              <w:rPr>
                <w:rFonts w:ascii="Times New Roman" w:hAnsi="Times New Roman"/>
                <w:b/>
              </w:rPr>
              <w:t xml:space="preserve">нормативных правовых актов в установленной предметной области проводится на систематической основе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разработчиком которых является законодательный (представительный) орган местного самоуправления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разработчиками которых являются исполнительные органы местного самоуправления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общее количество подготовленных заключений об оценке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2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3.5. Варианты предлагаемого правового регулирования оцениваются на основе использования количественных методов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38"/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Style w:val="838"/>
                <w:rFonts w:ascii="Times New Roman" w:hAnsi="Times New Roman" w:cs="Times New Roman"/>
                <w:sz w:val="20"/>
                <w:szCs w:val="20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</w:rPr>
              <w:t xml:space="preserve">https://nobl.ru/deyatelnost-pravitelstva/orv/estimation/6622/</w:t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3.6</w:t>
            </w:r>
            <w:r>
              <w:rPr>
                <w:rFonts w:ascii="Times New Roman" w:hAnsi="Times New Roman"/>
                <w:b/>
              </w:rPr>
              <w:t xml:space="preserve">. Практический опыт проведения экспертизы нормативных правовых актов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</w:t>
            </w:r>
            <w:r>
              <w:rPr>
                <w:rFonts w:ascii="Times New Roman" w:hAnsi="Times New Roman"/>
              </w:rPr>
              <w:t xml:space="preserve">оличество НПА включенных в план проведения экспертизы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>
              <w:rPr>
                <w:rFonts w:ascii="Times New Roman" w:hAnsi="Times New Roman"/>
              </w:rPr>
              <w:t xml:space="preserve">экспертизе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>
              <w:rPr>
                <w:rFonts w:ascii="Times New Roman" w:hAnsi="Times New Roman"/>
              </w:rPr>
              <w:t xml:space="preserve">об экспертизе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результатам экспертизы, в НПА внесены изменения или принято решение об их отмене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>
              <w:rPr>
                <w:rFonts w:ascii="Times New Roman" w:hAnsi="Times New Roman"/>
              </w:rPr>
              <w:t xml:space="preserve">НПА остались без изменений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соответствии с частями 5 - 7 статьи 52 Федерального закона от 20.03.2025 № 33-ФЗ "Об общих принципах организации местного самоуправления в единой системе публичной власти", законом Нижегородской области от 05.06.2025 № 73-З «О внесении изменений в закон Н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ижегородской области от 03.09.2014 № 109-З "Об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области"» 20.08.2025 постановлением администрации го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рода Нижнего Новгорода № 10121 исключен порядок проведения экспертизы муниципальных нормативных правовых актов, а также отменено распоряжение админист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ации города Нижнего Новгорода от 18.02.2025 № 147-р «Об утверждении плана Плана проведения экспертизы действующих муниципальных нормативных правовых актов города Нижнего Новгорода, проекты которых прошли процедуру оценки регулирующего воздействия в 2021-20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23 годах, на 2025 год».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r>
          </w:p>
        </w:tc>
      </w:tr>
      <w:tr>
        <w:tblPrEx/>
        <w:trPr>
          <w:trHeight w:val="30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</w:rPr>
              <w:outlineLvl w:val="2"/>
            </w:pPr>
            <w:r/>
            <w:bookmarkStart w:id="0" w:name="undefined"/>
            <w:r/>
            <w:bookmarkEnd w:id="0"/>
            <w:r>
              <w:rPr>
                <w:rFonts w:ascii="Times New Roman" w:hAnsi="Times New Roman"/>
                <w:b/>
              </w:rPr>
              <w:t xml:space="preserve">IV. Информационная, образовательная и организационная поддержка проведения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4.1</w:t>
            </w:r>
            <w:r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>
              <w:rPr>
                <w:rFonts w:ascii="Times New Roman" w:hAnsi="Times New Roman"/>
                <w:b/>
              </w:rPr>
              <w:t xml:space="preserve">местный</w:t>
            </w:r>
            <w:r>
              <w:rPr>
                <w:rFonts w:ascii="Times New Roman" w:hAnsi="Times New Roman"/>
                <w:b/>
              </w:rPr>
              <w:t xml:space="preserve"> интернет-портал, сайт </w:t>
            </w:r>
            <w:r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/>
            <w:hyperlink r:id="rId9" w:tooltip="https://admgor.nnov.ru/documents/Ocenka-reguliruyushchego-vozdeystviya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https://admgor.nnov.ru/documents/Ocenka-reguliruyushchego-vozdeystviya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hyperlink r:id="rId10" w:tooltip="https://www.gordumannov.ru/?id=18045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https://www.gordumannov.ru/?id=18045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https://kstovo.nobl.ru/activity/12512/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4.2</w:t>
            </w:r>
            <w:r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/>
            <w:hyperlink r:id="rId11" w:tooltip="https://admgor.nnov.ru/documents/Ocenka-reguliruyushchego-vozdeystviya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https://admgor.nnov.ru/documents/Ocenka-reguliruyushchego-vozdeystviya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hyperlink r:id="rId12" w:tooltip="https://www.gordumannov.ru/?id=18045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https://www.gordumannov.ru/?id=18045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https://kstovo.nobl.ru/activity/12512/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4.3</w:t>
            </w:r>
            <w:r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специализированном интернет-портале, официальном сайте</w:t>
            </w:r>
            <w:r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/>
            <w:hyperlink r:id="rId13" w:tooltip="https://admgor.nnov.ru/documents/Ocenka-reguliruyushchego-vozdeystviya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https://admgor.nnov.ru/documents/Ocenka-reguliruyushchego-vozdeystviya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hyperlink r:id="rId14" w:tooltip="https://www.gordumannov.ru/?id=18045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https://www.gordumannov.ru/?id=18045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https://kstovo.nobl.ru/activity/12512/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4.4</w:t>
            </w:r>
            <w:r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 xml:space="preserve">органа местного самоуправления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/>
            <w:hyperlink r:id="rId15" w:tooltip="https://admgor.nnov.ru/documents/Ocenka-reguliruyushchego-vozdeystviya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  <w:t xml:space="preserve">https://admgor.nnov.ru/documents/Ocenka-reguliruyushchego-vozdeystviya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hyperlink r:id="rId16" w:tooltip="https://www.gordumannov.ru/?id=18045" w:history="1"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  <w:t xml:space="preserve">https://www.gordumannov.ru/?id=18045</w:t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</w:rPr>
              </w:r>
              <w:r>
                <w:rPr>
                  <w:rStyle w:val="838"/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Style w:val="838"/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https://kstovo.nobl.ru/activity/12512/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 xml:space="preserve">4.5</w:t>
            </w:r>
            <w:r>
              <w:rPr>
                <w:rFonts w:ascii="Times New Roman" w:hAnsi="Times New Roman"/>
                <w:b/>
              </w:rPr>
              <w:t xml:space="preserve">. Для публикации информации по оценке регулирующего воздействия используются другие </w:t>
            </w:r>
            <w:r>
              <w:rPr>
                <w:rFonts w:ascii="Times New Roman" w:hAnsi="Times New Roman"/>
                <w:b/>
              </w:rPr>
              <w:t xml:space="preserve">интернет-ресурсы</w:t>
            </w:r>
            <w:r>
              <w:rPr>
                <w:rFonts w:ascii="Times New Roman" w:hAnsi="Times New Roman"/>
                <w:b/>
                <w:color w:val="auto"/>
                <w:u w:val="none"/>
              </w:rPr>
            </w:r>
            <w:r>
              <w:rPr>
                <w:rFonts w:ascii="Times New Roman" w:hAnsi="Times New Roman"/>
                <w:b/>
                <w:color w:val="auto"/>
                <w:u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https://nobl.ru/deyatelnost-pravitelstva/orv/</w:t>
            </w: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highlight w:val="none"/>
                <w:u w:val="singl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highlight w:val="none"/>
                <w:u w:val="single"/>
              </w:rPr>
              <w:t xml:space="preserve">https://kstovo.nobl.ru/activity/12512/</w:t>
            </w: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4.6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 xml:space="preserve">Проводятся мероприятия, посвященные ОРВ. Информация о прошедших и (или) готовящихся мероприятиях (событиях) в сфере ОРВ</w:t>
            </w:r>
            <w:r>
              <w:rPr>
                <w:rStyle w:val="819"/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>
              <w:rPr>
                <w:rFonts w:ascii="Times New Roman" w:hAnsi="Times New Roman"/>
                <w:b/>
              </w:rPr>
              <w:t xml:space="preserve">специализированном интернет-портале, официальном сайте </w:t>
            </w:r>
            <w:r>
              <w:rPr>
                <w:rFonts w:ascii="Times New Roman" w:hAnsi="Times New Roman"/>
                <w:b/>
              </w:rPr>
              <w:t xml:space="preserve">органа местного самоуправления, других средствах массовой информации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ссылки на мероприятия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4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4.7</w:t>
            </w:r>
            <w:r>
              <w:rPr>
                <w:rFonts w:ascii="Times New Roman" w:hAnsi="Times New Roman"/>
                <w:b/>
              </w:rPr>
              <w:t xml:space="preserve">. Создан совет/рабочая группа по оценке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по созданию и деятельности советов/рабочих групп по оценке регулирующего воздействия нормативно правовыми актами на федеральном и региональном уровнях не определены.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59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0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4.8</w:t>
            </w:r>
            <w:r>
              <w:rPr>
                <w:rFonts w:ascii="Times New Roman" w:hAnsi="Times New Roman"/>
                <w:b/>
              </w:rPr>
              <w:t xml:space="preserve"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 xml:space="preserve">, уполномоченным по защите прав предпринимателей</w:t>
            </w:r>
            <w:r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«Соглашение о взаимодействии при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оценки регулирующего воздействия проектов нормативных правовых актов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экспертизы действующих нормативных правовых актов администрации города Нижнего Новгорода» с Региональным объединением работодателей «Нижегородская Ассоциация промышленников и предпринимателей» от 16.09.2015 года;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«Соглашение о взаимодействии при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оценки регулирующего воздействия проектов нормативных правовых актов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экспертизы действующих нормативных правовых актов администрации города Нижнего Новгорода» с Торгово-промышленной палатой Нижегородской области от 16.09.2015 года;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«Соглашение о взаимодействии между органами местного самоуправления города Нижнего Новгорода и Нижегородским региональным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Общероссийской общественной организации малого и среднего предпринимательства «ОПОРА РОССИИ» с Нижегородским региональным отделением Общероссийской общественной организации малого и среднего предпринимательства «ОПОРА РОССИИ» от 01.02.2017 года;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«Соглашение о взаимодейств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при проведении оценки регулирующего воздействия проектов муниципальных нормативных правовых актов и при проведении экспертизы действующих муниципальных нормативных правовых актов» с Уполномоченным по защите прав предпринимателей в Нижегородской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Солодкий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П.М. от 28.02.2019 года.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проведения оценки регулирующего воздействия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проектов актов (экспертизы актов)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городе Нижнем Новгороде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2025 год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numPr>
          <w:ilvl w:val="0"/>
          <w:numId w:val="3"/>
        </w:num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характеристика</w:t>
      </w:r>
      <w:r>
        <w:rPr>
          <w:rFonts w:ascii="Times New Roman" w:hAnsi="Times New Roman"/>
          <w:b/>
          <w:sz w:val="28"/>
          <w:szCs w:val="28"/>
        </w:rPr>
        <w:t xml:space="preserve"> внедрения ОРВ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/>
      </w:pPr>
      <w:r/>
      <w:r/>
    </w:p>
    <w:p>
      <w:pPr>
        <w:jc w:val="both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 w:cs="Times New Roman"/>
          <w:iCs/>
          <w:sz w:val="20"/>
          <w:szCs w:val="20"/>
        </w:rPr>
        <w:t xml:space="preserve">На территори</w:t>
      </w:r>
      <w:r>
        <w:rPr>
          <w:rFonts w:ascii="Times New Roman" w:hAnsi="Times New Roman" w:cs="Times New Roman"/>
          <w:iCs/>
          <w:sz w:val="20"/>
          <w:szCs w:val="20"/>
          <w:highlight w:val="none"/>
        </w:rPr>
        <w:t xml:space="preserve">и городского округа города Нижнего Новгорода действует постановление администрации города Нижнего Новгорода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 23.10.2025 года №13576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Об утверждении Порядка проведения оценки регулирующего воздействия проектов муниципальных нормативных правовых актов и об отмене некоторых правовых актов</w:t>
      </w:r>
      <w:r>
        <w:rPr>
          <w:rFonts w:ascii="Times New Roman" w:hAnsi="Times New Roman" w:cs="Times New Roman"/>
          <w:sz w:val="20"/>
          <w:szCs w:val="20"/>
        </w:rPr>
        <w:t xml:space="preserve">», которое определяет правила проведения оценки регулирующего воздействия (далее - ОРВ) проектов нормативных правовых актов администрации города Нижнего Новгорода (далее – НПА), проектов нормативных правовых актов городской Думы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города Нижнего Новгорода, вносимых главой города Нижнего Новгород</w:t>
      </w:r>
      <w:r>
        <w:rPr>
          <w:rFonts w:ascii="Times New Roman" w:hAnsi="Times New Roman" w:cs="Times New Roman"/>
          <w:sz w:val="20"/>
          <w:szCs w:val="20"/>
        </w:rPr>
        <w:t xml:space="preserve">а,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в целях выявления положений, вводящих избыточные обязанности, запреты и </w:t>
      </w:r>
      <w:r>
        <w:rPr>
          <w:rFonts w:ascii="Times New Roman" w:hAnsi="Times New Roman" w:cs="Times New Roman"/>
          <w:sz w:val="20"/>
          <w:szCs w:val="20"/>
        </w:rPr>
        <w:t xml:space="preserve">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</w:t>
      </w:r>
      <w:r>
        <w:rPr>
          <w:rFonts w:ascii="Times New Roman" w:hAnsi="Times New Roman" w:cs="Times New Roman"/>
          <w:sz w:val="20"/>
          <w:szCs w:val="20"/>
        </w:rPr>
        <w:t xml:space="preserve"> Нижнего Новгорода. За 202</w:t>
      </w:r>
      <w:r>
        <w:rPr>
          <w:rFonts w:ascii="Times New Roman" w:hAnsi="Times New Roman" w:cs="Times New Roman"/>
          <w:sz w:val="20"/>
          <w:szCs w:val="20"/>
        </w:rPr>
        <w:t xml:space="preserve">5 года в городе Нижнем Новгороде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25</w:t>
      </w:r>
      <w:r>
        <w:rPr>
          <w:rFonts w:ascii="Times New Roman" w:hAnsi="Times New Roman" w:cs="Times New Roman"/>
          <w:sz w:val="20"/>
          <w:szCs w:val="20"/>
        </w:rPr>
        <w:t xml:space="preserve"> НПА прошли оценку регулирующего воздействия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(25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п</w:t>
      </w:r>
      <w:r>
        <w:rPr>
          <w:rFonts w:ascii="Times New Roman" w:hAnsi="Times New Roman" w:cs="Times New Roman"/>
          <w:sz w:val="20"/>
          <w:szCs w:val="20"/>
        </w:rPr>
        <w:t xml:space="preserve">оложительных заключений).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Оценка регулирующего воздействия проектов нормативных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правовых актов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754" w:type="dxa"/>
        <w:tblInd w:w="-3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4"/>
        <w:gridCol w:w="1796"/>
        <w:gridCol w:w="1905"/>
        <w:gridCol w:w="3199"/>
        <w:gridCol w:w="1701"/>
        <w:gridCol w:w="162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проекта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публичных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Учет замечаний и предложений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bCs/>
                <w:sz w:val="20"/>
                <w:szCs w:val="20"/>
              </w:rPr>
              <w:t xml:space="preserve">роект решения городской Думы города Нижнего Новгорода «О внесении изменений в Правила установки и эксплуатации рекламных конструкций в муниципальном образовании городской округ город Нижний Новгород, принятые решением городской Думы города Нижнего Новгород</w:t>
            </w:r>
            <w:r>
              <w:rPr>
                <w:bCs/>
                <w:sz w:val="20"/>
                <w:szCs w:val="20"/>
              </w:rPr>
              <w:t xml:space="preserve">а от 19.09.2012 № 119»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направлено на упорядочение мест для установки и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сплуатации рекламных конструкций, формирование принципов и условий, обеспечивающих равные права для всех участников отрасли наружной рекламы, эффективное использование объектов недвижимости в целях размещения наружной рекламы и формирования облика города.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решения городской Думы города Нижнего Новгорода «О внесении изменения в абзац третий пункта 13.39 Правил благоустройства территории муниципального образования городской округ город Нижний Новгород, утвержденных решением городской Думы города Нижнего </w:t>
            </w:r>
            <w:r>
              <w:rPr>
                <w:bCs/>
                <w:sz w:val="20"/>
                <w:szCs w:val="20"/>
                <w:highlight w:val="none"/>
              </w:rPr>
              <w:t xml:space="preserve">Новгорода от 26.12.2018 № 272»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транспорта и дорожного хозяйства администрации города Нижнего Новгорода.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Нормативно-правовое регулирование вопроса восстановления покрытия автомобильных дорог в зимний период времени.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 - учтено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26.09.2011 № 3763»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Вносимые изменения предусматривают изменение те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кстовой части Методики определения начальной цены предмета аукциона на право заключения договора на размещение нестационарного торгового объекта в связи с вступлением в силу  изменений в постановление Правительства Нижегородской области от 15.04.2015 № 213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 - отклонено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30.12.2021 № 6071»</w:t>
            </w:r>
            <w:r>
              <w:rPr>
                <w:bCs/>
                <w:sz w:val="20"/>
                <w:szCs w:val="20"/>
                <w:highlight w:val="none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Увеличение разнообразия элементов для обустройства летних кафе, предприятий общественного питания, деятельность которого организуется на сезон  с апреля по ноябрь в зависимости от погодных условий (летнее кафе)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 - отклонено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решения городской Думы города Нижнего Новгорода «О внесении изменений в Местные нормативы градостроительного проектирования города Нижнего Новгорода, утвержденные решением городской Думы города Нижнего Новгорода от 19.09.2018 № 188»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Устранение противоречий и несоответстви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й между Местными нормативами градостроительного проектирования города Нижнего Новгорода и Региональными нормативами градостроительного проектирования Нижегородской области, утвержденными постановлением Правительства Нижегородской области от 31.12.2015 №921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15.05.2020 № 1503»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Приведение муниципального нормативного правового акта в соответствие с постановлением Правительства Нижегородской области от 15 апреля 2015 № 213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итории Нижегородской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утверждении порядка предоставления из бюджета города Нижнего Новгорода субсидии на возмещение части затрат в связи с оказанием услуг по перевозке пассажиров в целях повышения туристической прив</w:t>
            </w:r>
            <w:r>
              <w:rPr>
                <w:bCs/>
                <w:sz w:val="20"/>
                <w:szCs w:val="20"/>
                <w:highlight w:val="none"/>
              </w:rPr>
              <w:t xml:space="preserve">лекательности города Нижнего Новгорода»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Департамент развития туризма и внешних связей администрации города Нижнего Новгорода.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азвития туризма, повышение туристической привлекательности города Нижнего Новгорода.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 - учтено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6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30.12.2021 № 6071»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Уточнение порядка подачи заявления на альтернативное место в Схеме размещения НТО.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04.09.2017 №4157»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Приведение муниципального нормативного правового акта в соответствие с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Федеральным законом от 27.07.2010 N 210-ФЗ "Об организации предоставления государственных и муниципальных услуг", с Постановлением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20.07.2021 N 1228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"Об утверждении Правил разработки и утверждения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и с Пост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ановлением администрации г. Н.Новгорода от 24.03.2011 N 1104 "О порядке разработки и утверждения административных регламентов предоставления муниципальных услуг".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28.08.2019  № 2967»</w:t>
            </w:r>
            <w:r>
              <w:rPr>
                <w:bCs/>
                <w:sz w:val="20"/>
                <w:szCs w:val="20"/>
                <w:highlight w:val="none"/>
              </w:rPr>
              <w:t xml:space="preserve">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Управление административно-технического и муниципального   контроля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Закрепление возможности снижения административных барьеров при оказании муниципальной услуги в случае отсутствия  нарушений плановыми работами прав и законных интересов иных лиц, получивших ордера на плановые работы либо вошедших в адресные программы.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 внесении изменений в постановление администрации города Нижнего Новгорода от 04.09.2017 №4158 и об отмене постановления администрации города Нижнего Новгорода от 23.07.2007 № 3240 «О создании Го</w:t>
            </w:r>
            <w:r>
              <w:rPr>
                <w:bCs/>
                <w:sz w:val="20"/>
                <w:szCs w:val="20"/>
                <w:highlight w:val="none"/>
              </w:rPr>
              <w:t xml:space="preserve">родского координационного совета по организации деятельности розничных рынков и ярмарок на территории города Нижнего Новгорода»»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Приведение муниципального нормативного правового акта в соответствие с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Ф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едеральным законом от 27.07.2010 N 210-ФЗ "Об организации предоставления государственных и муниципальных услуг"; с Постановлением Правительства РФ от 20.07.2021 N 1228 "Об утверждении Правил разработки й утверждения административных регламентов предоставле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и с Постановлением администрации г. Н.Новгорода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 24.03.2011 N 1104 "О порядке разработки и утверждения административных регламентов предоставления муниципальных услуг".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решения городской Думы города Нижнего Новгорода «О внесении изменений в Местные нормативы градостроительного проектирования города Нижнего Новгорода, утвержденные решением городской Думы города Нижнего Новгорода от 19.09.2018 № 188»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естные нормативны градостроительного проектирования являются частью сис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темы нормативов градостроительного проектирования, включающей в себя федеральные и региональные нормативы градостроительного проектирования и показатели, устанавливаемые местными нормативами не должны противоречить региональными и федеральными нормативами.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внесении изменений в постановление администрации города Нижнего Новгорода от 10.06.2013 № 2159»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Предусмотрение изменения порядка установления границ, прилегающих территорий, на которых не допускается розничная продажа алкогольной продукции, розничная продажа алкогольной продукций при оказании услуг общественного питания, в случаях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сли предприятие розничной торговли или общественного питания находится внутри торгового центра. Проектом постановления администрации города так же утверждается перечень территорий города Нижнего Новгорода, имеющих высокую туристическую привлекательность, в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границах которых сокращается расстояние для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решения городской Думы города Нижнего Новгорода «О внесении изменений 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</w:t>
            </w:r>
            <w:r>
              <w:rPr>
                <w:bCs/>
                <w:sz w:val="20"/>
                <w:szCs w:val="20"/>
                <w:highlight w:val="none"/>
              </w:rPr>
              <w:t xml:space="preserve"> 272»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благоустройства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роблема накопления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ТКО юридическими лицами, индивидуальными предпринимателями, самозанятыми лицами, в том числе хозяйствующими субъектами, осуществляющими деятельность в помещениях, расположенных в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ногоквартирных домах, а также в нестационарных торговых объектах, в местах, не принадлежащих им на праве собственности, хозяйственного ведения или ином законном праве при отсутствии договора с собственником места (площадки) накопления ТКО об использовании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и содержании такого места (площадки).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10 - учтено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утверждении административного регламента администрации города Нижнего Новгорода по предоставлению муниципальной услуги «Выдача разрешения (дубликата или копии разрешения) на право организации р</w:t>
            </w:r>
            <w:r>
              <w:rPr>
                <w:bCs/>
                <w:sz w:val="20"/>
                <w:szCs w:val="20"/>
                <w:highlight w:val="none"/>
              </w:rPr>
              <w:t xml:space="preserve">озничного рынка» и отмене некоторых муниципальных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еализация мероприятий переходного периода согласно Закону Нижегородской области от 04.04.2025 № 45-3 "О преобразовании муниципальных образований - городской округ город Нижний Новгород и Кстовский муниципальный округ Нижегородской области путем 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объединения и наделения вновь образованного муниципального образования статусом городского округа", а так же с целью приведения административного регламента администрации города Нижнего Новгорода по предоставлению муниципальной услуги «Выдача разрешения (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убликата или копии разрешения) на право организации розничного рынка» в соответствие с постановлением Правительства РФ от 20.07.2021 № 1228 "Об утверждении Правил разработки и утверждения административных регламентов предоставления государственных услуг, 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с постановлением Правительства Нижегородской области от 11.07.2023 № 623 «О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б организации предоставления государственных и муниципальных услуг в Нижегородской области» и с постановлением администрации г. Н.Новгорода от 26.09.2025 № 12169 "О порядке разработки и утверждения административных регламентов предоставления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услуг и отмене некоторых муниципальных правовых актов".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утверждении административного регламента администрации города Нижнего Новгорода по предоставлению муниципальной услуги «Выдача разрешения на право организации ярмарки» и отмене некоторых муници</w:t>
            </w:r>
            <w:r>
              <w:rPr>
                <w:bCs/>
                <w:sz w:val="20"/>
                <w:szCs w:val="20"/>
                <w:highlight w:val="none"/>
              </w:rPr>
              <w:t xml:space="preserve">пальных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еализация мероприятий переходного периода согласно Закону Нижегородской области от 04.04.2025 № 45-3 "О преобразовании муниципальных образований - городской округ город Нижний Новгород и Кстовский муниципальный округ Нижегородской области путем 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объединения и наделения вновь образованного муниципального образования статусом городского округа", а так же с целью приведения административного регламента администрации города Нижнего Новгорода по предоставлению муниципальной услуги «Выдача разрешения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на право организации ярмарки» в соответствие с постановлением Правительства РФ от 20.07.2021 № 1228 "Об утверждении Правил разработки и утверждения административных регламентов предоставления государственных услуг, 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с постановлением Правительства Нижегородской области от 11.07.2023 № 623 «О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б организации предоставления государственных и муниципальных услуг в Нижегородской области» и с постановлением администрации г. Н.Новгорода от 26.09.2025 № 12169 "О порядке разработки и утверждения административных регламентов предоставления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услуг и отмене некоторых муниципальных правовых актов".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решения городской Думы города Нижнего Новгорода «Об утверждении Правил установки и эксплуатации рекламных конструкций в муниципальном образовании городской округ город Нижний Новгород».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Отсутствие единого правового регулирования в сфере размещения рекламных конструкций на территории вновь созданного согласно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Закону Нижегородской области от 04.04.2025 № 45-3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 с новым административно-территориальным делением, включающим территорию бывшего Кстовского муниципального округа.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2 - отклонено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решения городской Думы города Нижнего Новгорода «Об утверждении Положения о присвоении наименований элементам улично-дорожной сети, наименований элементам планировочной структуры в границах муниципального образования городской округ город Нижний Новг</w:t>
            </w:r>
            <w:r>
              <w:rPr>
                <w:bCs/>
                <w:sz w:val="20"/>
                <w:szCs w:val="20"/>
                <w:highlight w:val="none"/>
              </w:rPr>
              <w:t xml:space="preserve">ород, изменении, аннулировании таких наименований»</w:t>
            </w:r>
            <w:r>
              <w:rPr>
                <w:bCs/>
                <w:sz w:val="20"/>
                <w:szCs w:val="20"/>
                <w:highlight w:val="none"/>
              </w:rPr>
              <w:t xml:space="preserve">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Отсутствие единого правового регулирования в сфере присвоения наименований элементам улично-дорожной сети и элементам планировочной структуры на территории вновь созданного согласно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Закону Нижегородской области от 04.04.2025 № 45-3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 с новым административно-территориальным делением, включающим территорию бывшего Кстовского муниципального округа.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решения городской Думы города Нижнего Новгорода «Об утверждении Положения о размещении сообщений органов государственной власти, иных государственных органов, органов местного самоуправления, муниципальных органов, которые не входят в структуру орган</w:t>
            </w:r>
            <w:r>
              <w:rPr>
                <w:bCs/>
                <w:sz w:val="20"/>
                <w:szCs w:val="20"/>
                <w:highlight w:val="none"/>
              </w:rPr>
              <w:t xml:space="preserve">ов местного самоуправления, содержащих социально значимую информацию, на территории муниципального образования городской округ город Нижний Новгород».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Отсутствие единого правового регулирования в сфере размещения социально значимой информации на территории вновь созданного согласно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Закону Нижегородской области от 04.04.2025 № 45-3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 с новым административно-территориальным делением, включающим территорию бывшего Кстовского муниципального округа.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утверждении порядка принятия решения о размещении объектов на землях или земельных участках, расположенных на территории муниципального образования городской округ город Нижний Новгород, находя</w:t>
            </w:r>
            <w:r>
              <w:rPr>
                <w:bCs/>
                <w:sz w:val="20"/>
                <w:szCs w:val="20"/>
                <w:highlight w:val="none"/>
              </w:rPr>
              <w:t xml:space="preserve">щихся в государственной собственности до разграничения или в муниципальной собственности, без предоставления земельных участков и установления сервитутов, публичного сервитута  и отмене некоторых муниципальных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единого правового регулирования в сфере принятия решения о размещении объектов на землях или земельных участках, расположенных на территории вновь созданного согласно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Закону Нижегородской области от 04.04.2025 № 45-3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Новгород, находящихся в государственной собственности до разграничения или в муниципальной собственности, без предоставления земельных участков и установления сервитутов, публичного сервитута.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</w:t>
            </w:r>
            <w:r>
              <w:rPr>
                <w:bCs/>
                <w:sz w:val="20"/>
                <w:szCs w:val="20"/>
                <w:highlight w:val="none"/>
              </w:rPr>
              <w:t xml:space="preserve">азании услуг общественного питания на территории Нижнего Новгорода  и отмене некоторых муниципальных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единого правового регулирования в определении границ прилегающих к некоторым организациям и объектам территорий, на которых не допускается розничная продажа алкогольной продукции 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розничная продажа алкогольной продукции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при оказании услуг общественного питания на территории вновь созданного согласно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Закону Нижегородской области от 04.04.2025 № 45-3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 размещении нестационарных торговых объектов на территории муниципального образования городской округ город Нижний Новгород и об отмене некоторых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Совершенствование, введение новых положений, оптимизация и актуализация нормативно-правового регулирования размещения нестационарных торговых объектов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 городской округ город Нижний Новгород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29 – учтено,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6 - отклонено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постановления администрации города Нижнего Новгорода «Об утверждении методики расчета платы (начальной цены предмета аукциона) за размещение нестационарных торговых объектов на территории города Нижнего Новгорода и объектов, предусмотренных пунктом 1</w:t>
            </w:r>
            <w:r>
              <w:rPr>
                <w:bCs/>
                <w:sz w:val="20"/>
                <w:szCs w:val="20"/>
                <w:highlight w:val="none"/>
              </w:rPr>
              <w:t xml:space="preserve">9</w:t>
            </w:r>
            <w:r>
              <w:rPr>
                <w:bCs/>
                <w:sz w:val="20"/>
                <w:szCs w:val="20"/>
                <w:highlight w:val="none"/>
              </w:rPr>
      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</w:t>
            </w:r>
            <w:r>
              <w:rPr>
                <w:bCs/>
                <w:sz w:val="20"/>
                <w:szCs w:val="20"/>
                <w:highlight w:val="none"/>
              </w:rPr>
              <w:t xml:space="preserve">Правительства Российской Федерации от 03.12.2014 № 1300 и отмене некоторых правовых актов».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развития предпринимательства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Предоставление возможности осуществления расчета стоимости за размещение НТО по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городскому округу город Нижний Новгород включая территорию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административно-территориального образования Кстовский район.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</w:t>
            </w:r>
            <w:r>
              <w:rPr>
                <w:bCs/>
                <w:sz w:val="20"/>
                <w:szCs w:val="20"/>
                <w:highlight w:val="none"/>
              </w:rPr>
              <w:t xml:space="preserve">роект решения городской Думы города Нижнего Новгорода «Об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</w:t>
            </w:r>
            <w:r>
              <w:rPr>
                <w:bCs/>
                <w:sz w:val="20"/>
                <w:szCs w:val="20"/>
                <w:highlight w:val="none"/>
              </w:rPr>
              <w:t xml:space="preserve">венности Нижегородской области или муниципального образования городской округ город Нижний Новгород».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Создание единого пространства для размещения рекламных конструкций, обеспечивающего соблюдение архитектурного облика, градостроительной среды сложившейся застройки и требований безопасности.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vMerge w:val="restart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Cs/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  <w:t xml:space="preserve">Проект постановления администрации города Нижнего Новгорода «Об утверждении Местных нормативов градостроительного проектирования городского округа город Нижний Новгород».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градостроительного развития и архитектуры администрации города Нижнего Новгорода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Установление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единого правового регулирования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на всей территории вновь образованного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муниципального образования.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highlight w:val="yellow"/>
        </w:rPr>
        <w:outlineLvl w:val="1"/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 xml:space="preserve">участников публичных консультаций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при проведении ОРВ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691"/>
        <w:tblW w:w="10596" w:type="dxa"/>
        <w:tblInd w:w="-248" w:type="dxa"/>
        <w:tblLayout w:type="fixed"/>
        <w:tblLook w:val="04A0" w:firstRow="1" w:lastRow="0" w:firstColumn="1" w:lastColumn="0" w:noHBand="0" w:noVBand="1"/>
      </w:tblPr>
      <w:tblGrid>
        <w:gridCol w:w="8754"/>
        <w:gridCol w:w="1843"/>
      </w:tblGrid>
      <w:tr>
        <w:tblPrEx/>
        <w:trPr/>
        <w:tc>
          <w:tcPr>
            <w:tcW w:w="8754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Участник (наименование организации, ФИО физического лица)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проектов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Романова Юлия Марковна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 «ЦПП города Нижнего Новгорода»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втономная некоммерческая организация Нижегородский центр общественных процедур «Бизнес против коррупции»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Фоменко Алексей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 «Три сезона»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Дуринов Сергей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«Экологический центр «Дронт»»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Громова Валерия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Кузнецова Елена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Латышева Елена Львовна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Шимонов Евгений Алексеевич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Латухин Никита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Осипова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Чувилев Евгений Евгеньевич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5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Нижегородское региональное объединение «Опоры России»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Экспертиза нормативных правовых актов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Ind w:w="-33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6"/>
        <w:gridCol w:w="1871"/>
        <w:gridCol w:w="1644"/>
        <w:gridCol w:w="2959"/>
        <w:gridCol w:w="1701"/>
        <w:gridCol w:w="15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реквизиты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выбранного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Нижнего Новгорода от 26.10.2023 № 7828 «О внесении изменений в постановление администрации города Нижнего Новгорода от 28.08.2019 № 2967»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Управление административно-технического и муниципального контроля администрации города Нижнего Новгорода.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Повышение качества исполнения муниципальной услуги, выразившейся в детализированном описании условий и порядка предоставления услуги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охранение действующего режима регулирования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Нижнего Новгорода от 20 февраля 2020 г. № 568 «О внесении изменений в постановление администрации города Нижнего Новгорода от 26.09.2011 № 3763».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епартамент развития предпринимательства и инвестиций администрации города Нижнего Новгорода.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Приведение «Методики начальной цены предмета аукциона на право заключения договора на размещение нестационарного торгового объе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кта» в соответствие, в целях осуществления возможности проведения открытых аукционов среди субъектов малого и среднего предпринимательства на право заключения договоров на размещение НТО, сроком действия договоров на размещение НТО до конца действия Схемы.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Сохранение действующего режима регулирования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992" w:right="70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5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5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5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4"/>
    <w:next w:val="834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5"/>
    <w:link w:val="679"/>
    <w:uiPriority w:val="10"/>
    <w:rPr>
      <w:sz w:val="48"/>
      <w:szCs w:val="48"/>
    </w:rPr>
  </w:style>
  <w:style w:type="paragraph" w:styleId="681">
    <w:name w:val="Subtitle"/>
    <w:basedOn w:val="834"/>
    <w:next w:val="834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5"/>
    <w:link w:val="681"/>
    <w:uiPriority w:val="11"/>
    <w:rPr>
      <w:sz w:val="24"/>
      <w:szCs w:val="24"/>
    </w:rPr>
  </w:style>
  <w:style w:type="paragraph" w:styleId="683">
    <w:name w:val="Quote"/>
    <w:basedOn w:val="834"/>
    <w:next w:val="834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4"/>
    <w:next w:val="834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5"/>
    <w:link w:val="846"/>
    <w:uiPriority w:val="99"/>
  </w:style>
  <w:style w:type="character" w:styleId="688">
    <w:name w:val="Footer Char"/>
    <w:basedOn w:val="835"/>
    <w:link w:val="848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8"/>
    <w:uiPriority w:val="99"/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Hyperlink"/>
    <w:basedOn w:val="835"/>
    <w:uiPriority w:val="99"/>
    <w:unhideWhenUsed/>
    <w:rPr>
      <w:color w:val="0000ff" w:themeColor="hyperlink"/>
      <w:u w:val="single"/>
    </w:rPr>
  </w:style>
  <w:style w:type="paragraph" w:styleId="839">
    <w:name w:val="Normal (Web)"/>
    <w:basedOn w:val="83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Strong"/>
    <w:basedOn w:val="835"/>
    <w:uiPriority w:val="22"/>
    <w:qFormat/>
    <w:rPr>
      <w:b/>
      <w:bCs/>
    </w:rPr>
  </w:style>
  <w:style w:type="character" w:styleId="841" w:customStyle="1">
    <w:name w:val="Font Style13"/>
    <w:basedOn w:val="835"/>
    <w:uiPriority w:val="99"/>
    <w:rPr>
      <w:rFonts w:ascii="Times New Roman" w:hAnsi="Times New Roman" w:cs="Times New Roman"/>
      <w:sz w:val="26"/>
      <w:szCs w:val="26"/>
    </w:rPr>
  </w:style>
  <w:style w:type="paragraph" w:styleId="842">
    <w:name w:val="List Paragraph"/>
    <w:basedOn w:val="834"/>
    <w:uiPriority w:val="34"/>
    <w:qFormat/>
    <w:pPr>
      <w:contextualSpacing/>
      <w:ind w:left="720"/>
    </w:pPr>
  </w:style>
  <w:style w:type="character" w:styleId="843" w:customStyle="1">
    <w:name w:val="pt-a0-000024"/>
    <w:basedOn w:val="835"/>
  </w:style>
  <w:style w:type="character" w:styleId="844" w:customStyle="1">
    <w:name w:val="fontstyle01"/>
    <w:basedOn w:val="835"/>
    <w:rPr>
      <w:rFonts w:hint="default" w:ascii="Calibri" w:hAnsi="Calibri"/>
      <w:b w:val="0"/>
      <w:bCs w:val="0"/>
      <w:i w:val="0"/>
      <w:iCs w:val="0"/>
      <w:color w:val="000000"/>
      <w:sz w:val="28"/>
      <w:szCs w:val="28"/>
    </w:rPr>
  </w:style>
  <w:style w:type="character" w:styleId="845">
    <w:name w:val="FollowedHyperlink"/>
    <w:basedOn w:val="835"/>
    <w:uiPriority w:val="99"/>
    <w:semiHidden/>
    <w:unhideWhenUsed/>
    <w:rPr>
      <w:color w:val="800080" w:themeColor="followedHyperlink"/>
      <w:u w:val="single"/>
    </w:rPr>
  </w:style>
  <w:style w:type="paragraph" w:styleId="846">
    <w:name w:val="Header"/>
    <w:basedOn w:val="834"/>
    <w:link w:val="84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Верхний колонтитул Знак"/>
    <w:basedOn w:val="835"/>
    <w:link w:val="846"/>
    <w:uiPriority w:val="99"/>
    <w:semiHidden/>
  </w:style>
  <w:style w:type="paragraph" w:styleId="848">
    <w:name w:val="Footer"/>
    <w:basedOn w:val="834"/>
    <w:link w:val="8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Нижний колонтитул Знак"/>
    <w:basedOn w:val="835"/>
    <w:link w:val="848"/>
    <w:uiPriority w:val="99"/>
    <w:semiHidden/>
  </w:style>
  <w:style w:type="paragraph" w:styleId="850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dmgor.nnov.ru/documents/Ocenka-reguliruyushchego-vozdeystviya" TargetMode="External"/><Relationship Id="rId10" Type="http://schemas.openxmlformats.org/officeDocument/2006/relationships/hyperlink" Target="https://www.gordumannov.ru/?id=18045" TargetMode="External"/><Relationship Id="rId11" Type="http://schemas.openxmlformats.org/officeDocument/2006/relationships/hyperlink" Target="https://admgor.nnov.ru/documents/Ocenka-reguliruyushchego-vozdeystviya" TargetMode="External"/><Relationship Id="rId12" Type="http://schemas.openxmlformats.org/officeDocument/2006/relationships/hyperlink" Target="https://www.gordumannov.ru/?id=18045" TargetMode="External"/><Relationship Id="rId13" Type="http://schemas.openxmlformats.org/officeDocument/2006/relationships/hyperlink" Target="https://admgor.nnov.ru/documents/Ocenka-reguliruyushchego-vozdeystviya" TargetMode="External"/><Relationship Id="rId14" Type="http://schemas.openxmlformats.org/officeDocument/2006/relationships/hyperlink" Target="https://www.gordumannov.ru/?id=18045" TargetMode="External"/><Relationship Id="rId15" Type="http://schemas.openxmlformats.org/officeDocument/2006/relationships/hyperlink" Target="https://admgor.nnov.ru/documents/Ocenka-reguliruyushchego-vozdeystviya" TargetMode="External"/><Relationship Id="rId16" Type="http://schemas.openxmlformats.org/officeDocument/2006/relationships/hyperlink" Target="https://www.gordumannov.ru/?id=1804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v.voronina</dc:creator>
  <cp:revision>24</cp:revision>
  <dcterms:created xsi:type="dcterms:W3CDTF">2023-01-11T10:47:00Z</dcterms:created>
  <dcterms:modified xsi:type="dcterms:W3CDTF">2026-01-30T08:13:50Z</dcterms:modified>
</cp:coreProperties>
</file>